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color w:val="auto"/>
          <w:kern w:val="0"/>
          <w:sz w:val="52"/>
          <w:szCs w:val="52"/>
          <w:highlight w:val="none"/>
        </w:rPr>
      </w:pPr>
    </w:p>
    <w:p>
      <w:pPr>
        <w:spacing w:line="540" w:lineRule="exact"/>
        <w:rPr>
          <w:rFonts w:eastAsia="华文中宋"/>
          <w:b/>
          <w:color w:val="auto"/>
          <w:kern w:val="0"/>
          <w:sz w:val="52"/>
          <w:szCs w:val="52"/>
          <w:highlight w:val="none"/>
        </w:rPr>
      </w:pPr>
    </w:p>
    <w:p>
      <w:pPr>
        <w:spacing w:line="540" w:lineRule="exact"/>
        <w:jc w:val="center"/>
        <w:rPr>
          <w:rFonts w:eastAsia="华文中宋"/>
          <w:b/>
          <w:color w:val="auto"/>
          <w:kern w:val="0"/>
          <w:sz w:val="52"/>
          <w:szCs w:val="52"/>
          <w:highlight w:val="none"/>
        </w:rPr>
      </w:pPr>
    </w:p>
    <w:p>
      <w:pPr>
        <w:spacing w:line="540" w:lineRule="exact"/>
        <w:jc w:val="center"/>
        <w:rPr>
          <w:rFonts w:eastAsia="方正小标宋_GBK"/>
          <w:color w:val="auto"/>
          <w:kern w:val="0"/>
          <w:sz w:val="48"/>
          <w:szCs w:val="48"/>
          <w:highlight w:val="none"/>
        </w:rPr>
      </w:pPr>
    </w:p>
    <w:p>
      <w:pPr>
        <w:spacing w:line="540" w:lineRule="exact"/>
        <w:jc w:val="center"/>
        <w:rPr>
          <w:rFonts w:hint="default" w:eastAsia="方正小标宋_GBK"/>
          <w:color w:val="auto"/>
          <w:kern w:val="0"/>
          <w:sz w:val="48"/>
          <w:szCs w:val="48"/>
          <w:highlight w:val="none"/>
          <w:lang w:val="en-US" w:eastAsia="zh-CN"/>
        </w:rPr>
      </w:pPr>
      <w:r>
        <w:rPr>
          <w:rFonts w:hint="default" w:eastAsia="方正小标宋_GBK"/>
          <w:color w:val="auto"/>
          <w:kern w:val="0"/>
          <w:sz w:val="48"/>
          <w:szCs w:val="48"/>
          <w:highlight w:val="none"/>
          <w:lang w:val="en-US" w:eastAsia="zh-CN"/>
        </w:rPr>
        <w:t>2024年残疾人事业发展补助资金</w:t>
      </w:r>
    </w:p>
    <w:p>
      <w:pPr>
        <w:spacing w:line="540" w:lineRule="exact"/>
        <w:jc w:val="center"/>
        <w:rPr>
          <w:rFonts w:eastAsia="方正小标宋_GBK"/>
          <w:color w:val="auto"/>
          <w:kern w:val="0"/>
          <w:sz w:val="48"/>
          <w:szCs w:val="48"/>
          <w:highlight w:val="none"/>
        </w:rPr>
      </w:pPr>
      <w:r>
        <w:rPr>
          <w:rFonts w:eastAsia="方正小标宋_GBK"/>
          <w:color w:val="auto"/>
          <w:kern w:val="0"/>
          <w:sz w:val="48"/>
          <w:szCs w:val="48"/>
          <w:highlight w:val="none"/>
        </w:rPr>
        <w:t>项目支出绩效评价报告</w:t>
      </w:r>
    </w:p>
    <w:p>
      <w:pPr>
        <w:spacing w:line="540" w:lineRule="exact"/>
        <w:jc w:val="center"/>
        <w:rPr>
          <w:rFonts w:eastAsia="华文中宋"/>
          <w:b/>
          <w:color w:val="auto"/>
          <w:kern w:val="0"/>
          <w:sz w:val="52"/>
          <w:szCs w:val="52"/>
          <w:highlight w:val="none"/>
        </w:rPr>
      </w:pPr>
    </w:p>
    <w:p>
      <w:pPr>
        <w:spacing w:line="540" w:lineRule="exact"/>
        <w:jc w:val="center"/>
        <w:rPr>
          <w:rFonts w:eastAsia="仿宋_GB2312"/>
          <w:color w:val="auto"/>
          <w:kern w:val="0"/>
          <w:sz w:val="36"/>
          <w:szCs w:val="36"/>
          <w:highlight w:val="none"/>
        </w:rPr>
      </w:pPr>
      <w:r>
        <w:rPr>
          <w:rFonts w:eastAsia="仿宋_GB2312"/>
          <w:color w:val="auto"/>
          <w:kern w:val="0"/>
          <w:sz w:val="36"/>
          <w:szCs w:val="36"/>
          <w:highlight w:val="none"/>
        </w:rPr>
        <w:t>（</w:t>
      </w:r>
      <w:r>
        <w:rPr>
          <w:rFonts w:hint="eastAsia" w:eastAsia="仿宋_GB2312"/>
          <w:color w:val="auto"/>
          <w:kern w:val="0"/>
          <w:sz w:val="36"/>
          <w:szCs w:val="36"/>
          <w:highlight w:val="none"/>
          <w:lang w:eastAsia="zh-CN"/>
        </w:rPr>
        <w:t>2024</w:t>
      </w:r>
      <w:r>
        <w:rPr>
          <w:rFonts w:eastAsia="仿宋_GB2312"/>
          <w:color w:val="auto"/>
          <w:kern w:val="0"/>
          <w:sz w:val="36"/>
          <w:szCs w:val="36"/>
          <w:highlight w:val="none"/>
        </w:rPr>
        <w:t>年度）</w:t>
      </w:r>
    </w:p>
    <w:p>
      <w:pPr>
        <w:spacing w:line="540" w:lineRule="exact"/>
        <w:jc w:val="center"/>
        <w:rPr>
          <w:rFonts w:eastAsia="仿宋_GB2312"/>
          <w:color w:val="auto"/>
          <w:kern w:val="0"/>
          <w:sz w:val="30"/>
          <w:szCs w:val="30"/>
          <w:highlight w:val="none"/>
        </w:rPr>
      </w:pPr>
    </w:p>
    <w:p>
      <w:pPr>
        <w:spacing w:line="540" w:lineRule="exact"/>
        <w:jc w:val="center"/>
        <w:rPr>
          <w:rFonts w:eastAsia="仿宋_GB2312"/>
          <w:color w:val="auto"/>
          <w:kern w:val="0"/>
          <w:sz w:val="30"/>
          <w:szCs w:val="30"/>
          <w:highlight w:val="none"/>
        </w:rPr>
      </w:pPr>
      <w:bookmarkStart w:id="3" w:name="_GoBack"/>
      <w:bookmarkEnd w:id="3"/>
    </w:p>
    <w:p>
      <w:pPr>
        <w:spacing w:line="540" w:lineRule="exact"/>
        <w:jc w:val="center"/>
        <w:rPr>
          <w:rFonts w:eastAsia="仿宋_GB2312"/>
          <w:color w:val="auto"/>
          <w:kern w:val="0"/>
          <w:sz w:val="30"/>
          <w:szCs w:val="30"/>
          <w:highlight w:val="none"/>
        </w:rPr>
      </w:pPr>
    </w:p>
    <w:p>
      <w:pPr>
        <w:pStyle w:val="10"/>
        <w:rPr>
          <w:color w:val="auto"/>
          <w:highlight w:val="none"/>
        </w:rPr>
      </w:pPr>
    </w:p>
    <w:p>
      <w:pPr>
        <w:spacing w:line="540" w:lineRule="exact"/>
        <w:jc w:val="center"/>
        <w:rPr>
          <w:rFonts w:eastAsia="仿宋_GB2312"/>
          <w:color w:val="auto"/>
          <w:kern w:val="0"/>
          <w:sz w:val="30"/>
          <w:szCs w:val="30"/>
          <w:highlight w:val="none"/>
        </w:rPr>
      </w:pPr>
    </w:p>
    <w:p>
      <w:pPr>
        <w:spacing w:line="540" w:lineRule="exact"/>
        <w:rPr>
          <w:rFonts w:eastAsia="仿宋_GB2312"/>
          <w:color w:val="auto"/>
          <w:kern w:val="0"/>
          <w:sz w:val="30"/>
          <w:szCs w:val="30"/>
          <w:highlight w:val="none"/>
        </w:rPr>
      </w:pPr>
    </w:p>
    <w:p>
      <w:pPr>
        <w:spacing w:line="700" w:lineRule="exact"/>
        <w:ind w:firstLine="1440" w:firstLineChars="400"/>
        <w:jc w:val="left"/>
        <w:rPr>
          <w:rFonts w:hint="eastAsia" w:eastAsia="仿宋_GB2312"/>
          <w:color w:val="auto"/>
          <w:kern w:val="0"/>
          <w:sz w:val="36"/>
          <w:szCs w:val="36"/>
          <w:highlight w:val="none"/>
          <w:lang w:val="en-US" w:eastAsia="zh-CN"/>
        </w:rPr>
      </w:pPr>
      <w:r>
        <w:rPr>
          <w:rFonts w:eastAsia="仿宋_GB2312"/>
          <w:color w:val="auto"/>
          <w:kern w:val="0"/>
          <w:sz w:val="36"/>
          <w:szCs w:val="36"/>
          <w:highlight w:val="none"/>
        </w:rPr>
        <w:t>项目名称：</w:t>
      </w:r>
      <w:r>
        <w:rPr>
          <w:rFonts w:hint="eastAsia" w:eastAsia="仿宋_GB2312"/>
          <w:color w:val="auto"/>
          <w:kern w:val="0"/>
          <w:sz w:val="36"/>
          <w:szCs w:val="36"/>
          <w:highlight w:val="none"/>
          <w:lang w:val="en-US" w:eastAsia="zh-CN"/>
        </w:rPr>
        <w:t>2024年残疾人事业发展补助资金</w:t>
      </w:r>
    </w:p>
    <w:p>
      <w:pPr>
        <w:spacing w:line="700" w:lineRule="exact"/>
        <w:ind w:firstLine="1440" w:firstLineChars="400"/>
        <w:jc w:val="left"/>
        <w:rPr>
          <w:rFonts w:hint="eastAsia" w:eastAsia="仿宋_GB2312"/>
          <w:color w:val="auto"/>
          <w:kern w:val="0"/>
          <w:sz w:val="36"/>
          <w:szCs w:val="36"/>
          <w:highlight w:val="none"/>
          <w:lang w:val="en-US" w:eastAsia="zh-CN"/>
        </w:rPr>
      </w:pPr>
      <w:r>
        <w:rPr>
          <w:rFonts w:eastAsia="仿宋_GB2312"/>
          <w:color w:val="auto"/>
          <w:kern w:val="0"/>
          <w:sz w:val="36"/>
          <w:szCs w:val="36"/>
          <w:highlight w:val="none"/>
        </w:rPr>
        <w:t>实施单位（公章）：</w:t>
      </w:r>
      <w:r>
        <w:rPr>
          <w:rFonts w:hint="eastAsia" w:eastAsia="仿宋_GB2312"/>
          <w:color w:val="auto"/>
          <w:kern w:val="0"/>
          <w:sz w:val="36"/>
          <w:szCs w:val="36"/>
          <w:highlight w:val="none"/>
          <w:lang w:val="en-US" w:eastAsia="zh-CN"/>
        </w:rPr>
        <w:t>奇台县残疾人联合会</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主管部门（公章）：</w:t>
      </w:r>
      <w:r>
        <w:rPr>
          <w:rFonts w:hint="eastAsia" w:eastAsia="仿宋_GB2312"/>
          <w:color w:val="auto"/>
          <w:kern w:val="0"/>
          <w:sz w:val="36"/>
          <w:szCs w:val="36"/>
          <w:highlight w:val="none"/>
          <w:lang w:val="en-US" w:eastAsia="zh-CN"/>
        </w:rPr>
        <w:t>奇台县残疾人联合会</w:t>
      </w:r>
    </w:p>
    <w:p>
      <w:pPr>
        <w:spacing w:line="700" w:lineRule="exact"/>
        <w:ind w:firstLine="1440" w:firstLineChars="400"/>
        <w:jc w:val="left"/>
        <w:rPr>
          <w:rFonts w:hint="eastAsia" w:eastAsia="仿宋_GB2312"/>
          <w:color w:val="auto"/>
          <w:kern w:val="0"/>
          <w:sz w:val="36"/>
          <w:szCs w:val="36"/>
          <w:highlight w:val="none"/>
          <w:lang w:val="en-US" w:eastAsia="zh-CN"/>
        </w:rPr>
      </w:pPr>
      <w:r>
        <w:rPr>
          <w:rFonts w:eastAsia="仿宋_GB2312"/>
          <w:color w:val="auto"/>
          <w:kern w:val="0"/>
          <w:sz w:val="36"/>
          <w:szCs w:val="36"/>
          <w:highlight w:val="none"/>
        </w:rPr>
        <w:t>项目负责人（签章）：</w:t>
      </w:r>
      <w:r>
        <w:rPr>
          <w:rFonts w:hint="eastAsia" w:eastAsia="仿宋_GB2312"/>
          <w:color w:val="auto"/>
          <w:kern w:val="0"/>
          <w:sz w:val="36"/>
          <w:szCs w:val="36"/>
          <w:highlight w:val="none"/>
          <w:lang w:val="en-US" w:eastAsia="zh-CN"/>
        </w:rPr>
        <w:t>王渊朝</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lang w:val="en-US" w:eastAsia="zh-CN"/>
        </w:rPr>
        <w:t>2025</w:t>
      </w:r>
      <w:r>
        <w:rPr>
          <w:rFonts w:eastAsia="仿宋_GB2312"/>
          <w:color w:val="auto"/>
          <w:kern w:val="0"/>
          <w:sz w:val="36"/>
          <w:szCs w:val="36"/>
          <w:highlight w:val="none"/>
        </w:rPr>
        <w:t>年</w:t>
      </w:r>
      <w:r>
        <w:rPr>
          <w:rFonts w:hint="eastAsia" w:eastAsia="仿宋_GB2312"/>
          <w:color w:val="auto"/>
          <w:kern w:val="0"/>
          <w:sz w:val="36"/>
          <w:szCs w:val="36"/>
          <w:highlight w:val="none"/>
          <w:lang w:val="en-US" w:eastAsia="zh-CN"/>
        </w:rPr>
        <w:t>4</w:t>
      </w:r>
      <w:r>
        <w:rPr>
          <w:rFonts w:eastAsia="仿宋_GB2312"/>
          <w:color w:val="auto"/>
          <w:kern w:val="0"/>
          <w:sz w:val="36"/>
          <w:szCs w:val="36"/>
          <w:highlight w:val="none"/>
        </w:rPr>
        <w:t>月</w:t>
      </w:r>
      <w:r>
        <w:rPr>
          <w:rFonts w:hint="eastAsia" w:eastAsia="仿宋_GB2312"/>
          <w:color w:val="auto"/>
          <w:kern w:val="0"/>
          <w:sz w:val="36"/>
          <w:szCs w:val="36"/>
          <w:highlight w:val="none"/>
          <w:lang w:val="en-US" w:eastAsia="zh-CN"/>
        </w:rPr>
        <w:t>27</w:t>
      </w:r>
      <w:r>
        <w:rPr>
          <w:rFonts w:eastAsia="仿宋_GB2312"/>
          <w:color w:val="auto"/>
          <w:kern w:val="0"/>
          <w:sz w:val="36"/>
          <w:szCs w:val="36"/>
          <w:highlight w:val="none"/>
        </w:rPr>
        <w:t>日</w:t>
      </w:r>
    </w:p>
    <w:p>
      <w:pPr>
        <w:spacing w:line="540" w:lineRule="exact"/>
        <w:jc w:val="center"/>
        <w:rPr>
          <w:rFonts w:eastAsia="仿宋_GB2312"/>
          <w:color w:val="auto"/>
          <w:kern w:val="0"/>
          <w:sz w:val="30"/>
          <w:szCs w:val="30"/>
          <w:highlight w:val="none"/>
        </w:rPr>
      </w:pPr>
    </w:p>
    <w:p>
      <w:pPr>
        <w:spacing w:line="540" w:lineRule="exact"/>
        <w:rPr>
          <w:rStyle w:val="16"/>
          <w:rFonts w:eastAsia="黑体"/>
          <w:b w:val="0"/>
          <w:color w:val="auto"/>
          <w:spacing w:val="-4"/>
          <w:sz w:val="32"/>
          <w:szCs w:val="32"/>
          <w:highlight w:val="none"/>
        </w:rPr>
      </w:pPr>
    </w:p>
    <w:p>
      <w:pPr>
        <w:spacing w:line="560" w:lineRule="exact"/>
        <w:rPr>
          <w:rFonts w:eastAsia="黑体"/>
          <w:bCs/>
          <w:color w:val="auto"/>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color w:val="auto"/>
          <w:sz w:val="32"/>
          <w:szCs w:val="32"/>
          <w:highlight w:val="none"/>
        </w:rPr>
      </w:pPr>
      <w:r>
        <w:rPr>
          <w:rFonts w:eastAsia="黑体"/>
          <w:bCs/>
          <w:color w:val="auto"/>
          <w:sz w:val="32"/>
          <w:szCs w:val="32"/>
          <w:highlight w:val="none"/>
        </w:rPr>
        <w:t>一、基本情况</w:t>
      </w:r>
    </w:p>
    <w:p>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（一）项目概况</w:t>
      </w:r>
    </w:p>
    <w:p>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1、项目背景</w:t>
      </w:r>
    </w:p>
    <w:p>
      <w:pPr>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为进一步扩大残疾人康复救助覆盖面，减轻残疾人家庭负担，</w:t>
      </w:r>
      <w:r>
        <w:rPr>
          <w:rFonts w:hint="eastAsia" w:ascii="宋体" w:hAnsi="宋体" w:eastAsia="宋体" w:cs="宋体"/>
          <w:i w:val="0"/>
          <w:iCs w:val="0"/>
          <w:caps w:val="0"/>
          <w:color w:val="auto"/>
          <w:spacing w:val="0"/>
          <w:sz w:val="16"/>
          <w:szCs w:val="16"/>
          <w:highlight w:val="none"/>
          <w:shd w:val="clear" w:fill="FFFFFF"/>
        </w:rPr>
        <w:t> </w:t>
      </w:r>
      <w:r>
        <w:rPr>
          <w:rFonts w:hint="eastAsia" w:ascii="仿宋" w:hAnsi="仿宋" w:eastAsia="仿宋" w:cs="仿宋"/>
          <w:color w:val="auto"/>
          <w:sz w:val="32"/>
          <w:szCs w:val="32"/>
          <w:highlight w:val="none"/>
          <w:lang w:val="en-US" w:eastAsia="zh-CN"/>
        </w:rPr>
        <w:t>奇台县残联根据《关于印发昌吉州残疾儿童少年康复救助实施办法的通知》（昌州政发[2021]79号）本次项目救助残疾儿童17名，合计29.63万元；残疾人基本康复230人，合计9.4万元；辅助器具82人，合计8.2万元。托养服务7人，合计1.4万元；根据中国残联下发的《关于“十四五”推进困难重度残疾人家庭无障碍改造工作的指导意见》的要求，实施无障碍改造10户，3.5万元；文化进家庭15人，合计0.75万元。</w:t>
      </w:r>
    </w:p>
    <w:p>
      <w:pPr>
        <w:pStyle w:val="10"/>
        <w:numPr>
          <w:ilvl w:val="0"/>
          <w:numId w:val="1"/>
        </w:numPr>
        <w:spacing w:before="0" w:after="0" w:line="560" w:lineRule="exact"/>
        <w:ind w:firstLine="643" w:firstLineChars="200"/>
        <w:jc w:val="both"/>
        <w:rPr>
          <w:rFonts w:ascii="Times New Roman" w:hAnsi="Times New Roman" w:eastAsia="仿宋_GB2312"/>
          <w:color w:val="auto"/>
          <w:kern w:val="2"/>
          <w:highlight w:val="none"/>
        </w:rPr>
      </w:pPr>
      <w:r>
        <w:rPr>
          <w:rFonts w:ascii="Times New Roman" w:hAnsi="Times New Roman" w:eastAsia="仿宋_GB2312"/>
          <w:color w:val="auto"/>
          <w:kern w:val="2"/>
          <w:highlight w:val="none"/>
        </w:rPr>
        <w:t>项目主要内容：</w:t>
      </w:r>
    </w:p>
    <w:p>
      <w:pPr>
        <w:ind w:left="638" w:leftChars="304" w:firstLine="0" w:firstLineChars="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项目主要内容：</w:t>
      </w:r>
    </w:p>
    <w:p>
      <w:pPr>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进一步做好残疾儿童救助工作，切实为残疾人接受基本康复服务提供制度性保障，减轻残疾人家庭负担。加强残疾人康复服务体系建设，提升残疾人康复服务专业化水平，实施残疾人精准康复服务行动。通过本项目的实施，满足残疾人康复需要，促进残疾人事业的发展，改善残疾人参与社会生活状况,使残疾人及亲属得到满意。</w:t>
      </w:r>
    </w:p>
    <w:p>
      <w:pPr>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项目实施情况：</w:t>
      </w:r>
      <w:r>
        <w:rPr>
          <w:rFonts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lang w:val="en-US" w:eastAsia="zh-CN"/>
        </w:rPr>
        <w:t xml:space="preserve">     </w:t>
      </w:r>
      <w:r>
        <w:rPr>
          <w:rFonts w:hint="eastAsia" w:ascii="仿宋" w:hAnsi="仿宋" w:eastAsia="仿宋" w:cs="仿宋"/>
          <w:color w:val="auto"/>
          <w:sz w:val="32"/>
          <w:szCs w:val="32"/>
          <w:highlight w:val="none"/>
          <w:lang w:val="en-US" w:eastAsia="zh-CN"/>
        </w:rPr>
        <w:t>本项目资金</w:t>
      </w:r>
      <w:r>
        <w:rPr>
          <w:rFonts w:hint="eastAsia" w:ascii="仿宋_GB2312" w:hAnsi="仿宋_GB2312" w:eastAsia="仿宋_GB2312" w:cs="仿宋_GB2312"/>
          <w:color w:val="auto"/>
          <w:sz w:val="32"/>
          <w:szCs w:val="32"/>
          <w:highlight w:val="none"/>
          <w:lang w:val="en-US" w:eastAsia="zh-CN"/>
        </w:rPr>
        <w:t>全年预算数52.88万元，全年执行数52.88万元，预算执行率为100%，</w:t>
      </w:r>
      <w:r>
        <w:rPr>
          <w:rFonts w:hint="eastAsia" w:ascii="仿宋" w:hAnsi="仿宋" w:eastAsia="仿宋" w:cs="仿宋"/>
          <w:color w:val="auto"/>
          <w:sz w:val="32"/>
          <w:szCs w:val="32"/>
          <w:highlight w:val="none"/>
          <w:lang w:val="en-US" w:eastAsia="zh-CN"/>
        </w:rPr>
        <w:t>用于发展残疾人事业，加强残疾人康复救助项目，为18名以上的残疾儿童提供康复救助，为230名以上的残疾人提供基本康复服务等。项目目前已经完成实际设立的目标。通过此项目的实施，让更多的残疾人得到救助服务，是造福全区残疾人家庭的惠民举措，是实现残疾人小康目标的基础性工作，也是实现残疾人“人人享有康复服务”目标的有效手段，促进残疾人事业的发展，改善残疾人生活状况,使残疾人满意度达到95%。</w:t>
      </w:r>
    </w:p>
    <w:p>
      <w:pPr>
        <w:spacing w:line="560" w:lineRule="exact"/>
        <w:ind w:firstLine="643" w:firstLineChars="200"/>
        <w:rPr>
          <w:rFonts w:eastAsia="仿宋_GB2312"/>
          <w:b/>
          <w:bCs/>
          <w:color w:val="auto"/>
          <w:sz w:val="32"/>
          <w:szCs w:val="32"/>
          <w:highlight w:val="none"/>
        </w:rPr>
      </w:pPr>
      <w:r>
        <w:rPr>
          <w:rFonts w:eastAsia="仿宋_GB2312"/>
          <w:b/>
          <w:bCs/>
          <w:color w:val="auto"/>
          <w:sz w:val="32"/>
          <w:szCs w:val="32"/>
          <w:highlight w:val="none"/>
        </w:rPr>
        <w:t>3、资金投入和使用情况</w:t>
      </w:r>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该项目年初预算数52.88万元，全年预算数52.88万元，实际总投入52.88万元，该项目资金已全部落实到位，资金来源为财政资金。</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该项目年初预算数52.88万元，全年预算数52.88万元，全年执行数52.88万元，预算执行率为100%，主要用于：困难重度残疾人家庭无障碍改造、残疾人基本康复服务、残疾儿童康复救助等项目。</w:t>
      </w:r>
    </w:p>
    <w:p>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（二）项目绩效目标</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1、总体目标</w:t>
      </w:r>
    </w:p>
    <w:p>
      <w:p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绩效评价的要求，成立理事长为组长的工作领导小组，狠抓工作落实。一是规范实施流程，实现高效管理。县残联分管干事逐户上门筛查，核准需求信息，选准改造对象。根据不同个性需求，制定“一户一案”，实行“量体裁衣”式个性化服务，最大程度满足残疾人无障碍改造第一需求。规范工作流程，严格投资评审程序，精心组织改造施工，上下联动抓项目质效。二是坚守施工底线，确保改造质量。定期抽查无障碍改造施工单位是否按照招投标、采购程序和要求，办理申购改造器具，确保施工材料正品合格，确保施工质量到位、资金监管到位，守住质量底线。三是为残疾人提供基本康复服务。主要建设（实施）内容为：加强残疾人康复服务体系建设，提升残疾人康复服务专业化水平，实施残疾人精准康复服务行动。</w:t>
      </w:r>
      <w:r>
        <w:rPr>
          <w:rFonts w:hint="eastAsia" w:ascii="仿宋" w:hAnsi="仿宋" w:eastAsia="仿宋" w:cs="仿宋"/>
          <w:color w:val="auto"/>
          <w:sz w:val="32"/>
          <w:szCs w:val="32"/>
          <w:highlight w:val="none"/>
          <w:lang w:val="en-US" w:eastAsia="zh-CN"/>
        </w:rPr>
        <w:t>四是完成残疾儿童康复救助项目。</w:t>
      </w:r>
      <w:r>
        <w:rPr>
          <w:rFonts w:hint="eastAsia" w:ascii="仿宋_GB2312" w:hAnsi="仿宋_GB2312" w:eastAsia="仿宋_GB2312" w:cs="仿宋_GB2312"/>
          <w:color w:val="auto"/>
          <w:sz w:val="32"/>
          <w:szCs w:val="32"/>
          <w:highlight w:val="none"/>
          <w:lang w:val="en-US" w:eastAsia="zh-CN"/>
        </w:rPr>
        <w:t>通过本项目的实施，满足残疾人康复需要，促进残疾人事业的发展，改善残疾人参与社会生活状况,使残疾人及亲属满意度达到80%。</w:t>
      </w:r>
    </w:p>
    <w:p>
      <w:pPr>
        <w:numPr>
          <w:ilvl w:val="0"/>
          <w:numId w:val="1"/>
        </w:numPr>
        <w:spacing w:line="560" w:lineRule="exact"/>
        <w:ind w:left="0" w:leftChars="0" w:firstLine="640" w:firstLineChars="200"/>
        <w:rPr>
          <w:rFonts w:eastAsia="仿宋_GB2312"/>
          <w:color w:val="auto"/>
          <w:sz w:val="32"/>
          <w:szCs w:val="32"/>
          <w:highlight w:val="none"/>
        </w:rPr>
      </w:pPr>
      <w:r>
        <w:rPr>
          <w:rFonts w:eastAsia="仿宋_GB2312"/>
          <w:color w:val="auto"/>
          <w:sz w:val="32"/>
          <w:szCs w:val="32"/>
          <w:highlight w:val="none"/>
        </w:rPr>
        <w:t>阶段性目标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该项目是</w:t>
      </w:r>
      <w:r>
        <w:rPr>
          <w:rFonts w:hint="eastAsia" w:ascii="仿宋" w:hAnsi="仿宋" w:eastAsia="仿宋" w:cs="仿宋"/>
          <w:color w:val="auto"/>
          <w:sz w:val="32"/>
          <w:szCs w:val="32"/>
          <w:highlight w:val="none"/>
          <w:lang w:val="en-US" w:eastAsia="zh-CN"/>
        </w:rPr>
        <w:t>做好残疾人基本康复服务、困难重度残疾人家庭无障碍改造、0-6岁残疾儿童康复救助等项目。加强残疾人康复服务体系建设，提升残疾人康复服务专业化水平，实施残疾人精准康复服务行动。通过本项目的实施，满足残疾人康复需要，促进残疾人事业的发展，改善残疾人参与社会生活状况,使残疾人及亲属得到满意。其中，</w:t>
      </w:r>
      <w:r>
        <w:rPr>
          <w:rFonts w:hint="eastAsia" w:ascii="仿宋_GB2312" w:hAnsi="仿宋_GB2312" w:eastAsia="仿宋_GB2312" w:cs="仿宋_GB2312"/>
          <w:color w:val="auto"/>
          <w:sz w:val="32"/>
          <w:szCs w:val="32"/>
          <w:highlight w:val="none"/>
          <w:lang w:val="en-US" w:eastAsia="zh-CN"/>
        </w:rPr>
        <w:t>上半年完成</w:t>
      </w:r>
      <w:r>
        <w:rPr>
          <w:rFonts w:hint="eastAsia" w:ascii="仿宋_GB2312" w:hAnsi="仿宋_GB2312" w:eastAsia="仿宋_GB2312" w:cs="仿宋_GB2312"/>
          <w:color w:val="auto"/>
          <w:sz w:val="32"/>
          <w:szCs w:val="32"/>
          <w:highlight w:val="none"/>
        </w:rPr>
        <w:t>残疾人基本康复服务人数完成</w:t>
      </w:r>
      <w:r>
        <w:rPr>
          <w:rFonts w:hint="eastAsia" w:ascii="仿宋_GB2312" w:hAnsi="仿宋_GB2312" w:eastAsia="仿宋_GB2312" w:cs="仿宋_GB2312"/>
          <w:color w:val="auto"/>
          <w:sz w:val="32"/>
          <w:szCs w:val="32"/>
          <w:highlight w:val="none"/>
          <w:lang w:val="en-US" w:eastAsia="zh-CN"/>
        </w:rPr>
        <w:t>72人;</w:t>
      </w:r>
      <w:r>
        <w:rPr>
          <w:rFonts w:hint="eastAsia" w:ascii="仿宋_GB2312" w:hAnsi="仿宋_GB2312" w:eastAsia="仿宋_GB2312" w:cs="仿宋_GB2312"/>
          <w:color w:val="auto"/>
          <w:sz w:val="32"/>
          <w:szCs w:val="32"/>
          <w:highlight w:val="none"/>
        </w:rPr>
        <w:t>困难重度残疾人家庭无障碍改造户数完成</w:t>
      </w:r>
      <w:r>
        <w:rPr>
          <w:rFonts w:hint="eastAsia" w:ascii="仿宋_GB2312" w:hAnsi="仿宋_GB2312" w:eastAsia="仿宋_GB2312" w:cs="仿宋_GB2312"/>
          <w:color w:val="auto"/>
          <w:sz w:val="32"/>
          <w:szCs w:val="32"/>
          <w:highlight w:val="none"/>
          <w:lang w:val="en-US" w:eastAsia="zh-CN"/>
        </w:rPr>
        <w:t>10户;</w:t>
      </w:r>
      <w:r>
        <w:rPr>
          <w:rFonts w:hint="eastAsia" w:ascii="仿宋_GB2312" w:hAnsi="仿宋_GB2312" w:eastAsia="仿宋_GB2312" w:cs="仿宋_GB2312"/>
          <w:color w:val="auto"/>
          <w:sz w:val="32"/>
          <w:szCs w:val="32"/>
          <w:highlight w:val="none"/>
        </w:rPr>
        <w:t>0-6岁残疾儿童康复救助人数完成</w:t>
      </w:r>
      <w:r>
        <w:rPr>
          <w:rFonts w:hint="eastAsia" w:ascii="仿宋_GB2312" w:hAnsi="仿宋_GB2312" w:eastAsia="仿宋_GB2312" w:cs="仿宋_GB2312"/>
          <w:color w:val="auto"/>
          <w:sz w:val="32"/>
          <w:szCs w:val="32"/>
          <w:highlight w:val="none"/>
          <w:lang w:val="en-US" w:eastAsia="zh-CN"/>
        </w:rPr>
        <w:t>10人。下半年完成</w:t>
      </w:r>
      <w:r>
        <w:rPr>
          <w:rFonts w:hint="eastAsia" w:ascii="仿宋_GB2312" w:hAnsi="仿宋_GB2312" w:eastAsia="仿宋_GB2312" w:cs="仿宋_GB2312"/>
          <w:color w:val="auto"/>
          <w:sz w:val="32"/>
          <w:szCs w:val="32"/>
          <w:highlight w:val="none"/>
        </w:rPr>
        <w:t>残疾人基本康复服务人数完成</w:t>
      </w:r>
      <w:r>
        <w:rPr>
          <w:rFonts w:hint="eastAsia" w:ascii="仿宋_GB2312" w:hAnsi="仿宋_GB2312" w:eastAsia="仿宋_GB2312" w:cs="仿宋_GB2312"/>
          <w:color w:val="auto"/>
          <w:sz w:val="32"/>
          <w:szCs w:val="32"/>
          <w:highlight w:val="none"/>
          <w:lang w:val="en-US" w:eastAsia="zh-CN"/>
        </w:rPr>
        <w:t>158人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0-6岁残疾儿童康复救助人数完成</w:t>
      </w:r>
      <w:r>
        <w:rPr>
          <w:rFonts w:hint="eastAsia" w:ascii="仿宋_GB2312" w:hAnsi="仿宋_GB2312" w:eastAsia="仿宋_GB2312" w:cs="仿宋_GB2312"/>
          <w:color w:val="auto"/>
          <w:sz w:val="32"/>
          <w:szCs w:val="32"/>
          <w:highlight w:val="none"/>
          <w:lang w:val="en-US" w:eastAsia="zh-CN"/>
        </w:rPr>
        <w:t>8人</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eastAsia="黑体"/>
          <w:color w:val="auto"/>
          <w:sz w:val="32"/>
          <w:szCs w:val="32"/>
          <w:highlight w:val="none"/>
        </w:rPr>
      </w:pPr>
      <w:r>
        <w:rPr>
          <w:rFonts w:eastAsia="黑体"/>
          <w:color w:val="auto"/>
          <w:sz w:val="32"/>
          <w:szCs w:val="32"/>
          <w:highlight w:val="none"/>
        </w:rPr>
        <w:t>二、绩效评价工作开展情况</w:t>
      </w:r>
    </w:p>
    <w:p>
      <w:p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1、绩效评价的目的</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19"/>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0"/>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2、绩效评价的对象</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2024年残疾人事业发展补助资金</w:t>
      </w:r>
      <w:r>
        <w:rPr>
          <w:rFonts w:hint="eastAsia" w:ascii="仿宋_GB2312" w:hAnsi="仿宋_GB2312" w:eastAsia="仿宋_GB2312" w:cs="仿宋_GB2312"/>
          <w:color w:val="auto"/>
          <w:sz w:val="32"/>
          <w:szCs w:val="32"/>
          <w:highlight w:val="none"/>
        </w:rPr>
        <w:t>项目所包含的全部项目内容。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3、绩效评价的范围</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color w:val="auto"/>
          <w:sz w:val="32"/>
          <w:szCs w:val="32"/>
          <w:highlight w:val="none"/>
          <w:lang w:val="en-US" w:eastAsia="zh-CN"/>
        </w:rPr>
        <w:t>残疾人事业发展补助资金</w:t>
      </w:r>
      <w:r>
        <w:rPr>
          <w:rFonts w:hint="eastAsia" w:ascii="仿宋_GB2312" w:hAnsi="仿宋_GB2312" w:eastAsia="仿宋_GB2312" w:cs="仿宋_GB2312"/>
          <w:color w:val="auto"/>
          <w:sz w:val="32"/>
          <w:szCs w:val="32"/>
          <w:highlight w:val="none"/>
        </w:rPr>
        <w:t>进行评价，评价核心为专项资金的支出完成情况和效果。</w:t>
      </w:r>
    </w:p>
    <w:p>
      <w:pPr>
        <w:spacing w:line="560" w:lineRule="exact"/>
        <w:ind w:firstLine="643" w:firstLineChars="200"/>
        <w:rPr>
          <w:color w:val="auto"/>
          <w:highlight w:val="none"/>
        </w:rPr>
      </w:pPr>
      <w:r>
        <w:rPr>
          <w:rFonts w:eastAsia="楷体_GB2312"/>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1、绩效评价原则</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2、评价指标体系</w:t>
      </w:r>
    </w:p>
    <w:p>
      <w:pPr>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ascii="Times New Roman" w:hAnsi="Times New Roman" w:eastAsia="仿宋_GB2312"/>
          <w:b w:val="0"/>
          <w:bCs w:val="0"/>
          <w:color w:val="auto"/>
          <w:spacing w:val="17"/>
          <w:highlight w:val="none"/>
        </w:rPr>
      </w:pPr>
      <w:r>
        <w:rPr>
          <w:rFonts w:ascii="Times New Roman" w:hAnsi="Times New Roman" w:eastAsia="仿宋_GB2312"/>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3、绩效评价方法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Style w:val="10"/>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4、评价标准</w:t>
      </w:r>
    </w:p>
    <w:p>
      <w:pPr>
        <w:spacing w:line="560" w:lineRule="exact"/>
        <w:ind w:firstLine="708" w:firstLineChars="200"/>
        <w:rPr>
          <w:rFonts w:eastAsia="仿宋_GB2312"/>
          <w:color w:val="auto"/>
          <w:spacing w:val="17"/>
          <w:sz w:val="32"/>
          <w:szCs w:val="32"/>
          <w:highlight w:val="none"/>
        </w:rPr>
      </w:pPr>
      <w:r>
        <w:rPr>
          <w:rFonts w:hint="eastAsia" w:eastAsia="仿宋_GB2312"/>
          <w:color w:val="auto"/>
          <w:spacing w:val="17"/>
          <w:sz w:val="32"/>
          <w:szCs w:val="32"/>
          <w:highlight w:val="none"/>
        </w:rPr>
        <w:t>绩效评价标准通常包括计划标准、行业标准、历史标准等，用于对绩效指标完成情况进行比较、分析、评价。本次评价主要采用了</w:t>
      </w:r>
      <w:r>
        <w:rPr>
          <w:rFonts w:hint="eastAsia" w:eastAsia="仿宋_GB2312"/>
          <w:color w:val="auto"/>
          <w:spacing w:val="17"/>
          <w:sz w:val="32"/>
          <w:szCs w:val="32"/>
          <w:highlight w:val="none"/>
          <w:lang w:val="en-US" w:eastAsia="zh-CN"/>
        </w:rPr>
        <w:t>计划</w:t>
      </w:r>
      <w:r>
        <w:rPr>
          <w:rFonts w:hint="eastAsia" w:eastAsia="仿宋_GB2312"/>
          <w:color w:val="auto"/>
          <w:spacing w:val="17"/>
          <w:sz w:val="32"/>
          <w:szCs w:val="32"/>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计划标准</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指以预先制定的目标、计划、预算、定额等作为评价标准。</w:t>
      </w:r>
    </w:p>
    <w:p>
      <w:pPr>
        <w:pStyle w:val="10"/>
        <w:numPr>
          <w:ilvl w:val="0"/>
          <w:numId w:val="3"/>
        </w:numPr>
        <w:spacing w:before="0" w:after="0" w:line="560" w:lineRule="exact"/>
        <w:ind w:firstLine="711" w:firstLineChars="200"/>
        <w:jc w:val="both"/>
        <w:rPr>
          <w:rFonts w:ascii="楷体" w:hAnsi="楷体" w:eastAsia="楷体" w:cs="楷体"/>
          <w:color w:val="auto"/>
          <w:spacing w:val="17"/>
          <w:highlight w:val="none"/>
        </w:rPr>
      </w:pPr>
      <w:r>
        <w:rPr>
          <w:rFonts w:hint="eastAsia" w:ascii="楷体" w:hAnsi="楷体" w:eastAsia="楷体" w:cs="楷体"/>
          <w:color w:val="auto"/>
          <w:spacing w:val="17"/>
          <w:highlight w:val="none"/>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lang w:val="en-US" w:eastAsia="zh-CN"/>
        </w:rPr>
        <w:t>1.</w:t>
      </w:r>
      <w:r>
        <w:rPr>
          <w:rFonts w:hint="eastAsia" w:eastAsia="仿宋_GB2312"/>
          <w:bCs/>
          <w:color w:val="auto"/>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lang w:val="en-US" w:eastAsia="zh-CN"/>
        </w:rPr>
        <w:t>2.</w:t>
      </w:r>
      <w:r>
        <w:rPr>
          <w:rFonts w:hint="eastAsia" w:eastAsia="仿宋_GB2312"/>
          <w:bCs/>
          <w:color w:val="auto"/>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r>
        <w:rPr>
          <w:rFonts w:hint="eastAsia" w:eastAsia="仿宋_GB2312"/>
          <w:bCs/>
          <w:color w:val="auto"/>
          <w:sz w:val="32"/>
          <w:szCs w:val="32"/>
          <w:highlight w:val="none"/>
          <w:lang w:val="en-US" w:eastAsia="zh-CN"/>
        </w:rPr>
        <w:t>3.</w:t>
      </w:r>
      <w:r>
        <w:rPr>
          <w:rFonts w:hint="eastAsia" w:eastAsia="仿宋_GB2312"/>
          <w:bCs/>
          <w:color w:val="auto"/>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560" w:lineRule="exact"/>
        <w:ind w:firstLine="640" w:firstLineChars="200"/>
        <w:rPr>
          <w:rFonts w:eastAsia="黑体"/>
          <w:color w:val="auto"/>
          <w:sz w:val="32"/>
          <w:szCs w:val="32"/>
          <w:highlight w:val="none"/>
        </w:rPr>
      </w:pPr>
      <w:r>
        <w:rPr>
          <w:rFonts w:eastAsia="黑体"/>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olor w:val="auto"/>
          <w:highlight w:val="none"/>
          <w:lang w:val="en-US" w:eastAsia="zh-CN"/>
        </w:rPr>
      </w:pP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lang w:val="en-US" w:eastAsia="zh-CN"/>
        </w:rPr>
        <w:t>一</w:t>
      </w:r>
      <w:r>
        <w:rPr>
          <w:rFonts w:hint="eastAsia" w:ascii="Times New Roman" w:hAnsi="Times New Roman" w:eastAsia="楷体_GB2312"/>
          <w:color w:val="auto"/>
          <w:highlight w:val="none"/>
          <w:lang w:eastAsia="zh-CN"/>
        </w:rPr>
        <w:t>）</w:t>
      </w:r>
      <w:r>
        <w:rPr>
          <w:rFonts w:hint="eastAsia" w:ascii="Times New Roman" w:hAnsi="Times New Roman" w:eastAsia="楷体_GB2312"/>
          <w:color w:val="auto"/>
          <w:highlight w:val="none"/>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eastAsia="zh-CN"/>
        </w:rPr>
        <w:t>（</w:t>
      </w:r>
      <w:r>
        <w:rPr>
          <w:rFonts w:hint="eastAsia" w:ascii="Times New Roman" w:hAnsi="Times New Roman" w:eastAsia="楷体_GB2312" w:cs="Times New Roman"/>
          <w:color w:val="auto"/>
          <w:highlight w:val="none"/>
          <w:lang w:val="en-US" w:eastAsia="zh-CN"/>
        </w:rPr>
        <w:t>二</w:t>
      </w:r>
      <w:r>
        <w:rPr>
          <w:rFonts w:hint="eastAsia" w:ascii="Times New Roman" w:hAnsi="Times New Roman" w:eastAsia="楷体_GB2312" w:cs="Times New Roman"/>
          <w:color w:val="auto"/>
          <w:highlight w:val="none"/>
          <w:lang w:eastAsia="zh-CN"/>
        </w:rPr>
        <w:t>）</w:t>
      </w:r>
      <w:r>
        <w:rPr>
          <w:rFonts w:hint="eastAsia"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lang w:eastAsia="zh-CN"/>
        </w:rPr>
      </w:pPr>
      <w:r>
        <w:rPr>
          <w:rFonts w:hint="eastAsia" w:ascii="Times New Roman" w:hAnsi="Times New Roman" w:eastAsia="仿宋_GB2312"/>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%。具体打分情况详见：附件1综合评分表</w:t>
      </w:r>
      <w:r>
        <w:rPr>
          <w:rFonts w:hint="eastAsia" w:ascii="Times New Roman" w:hAnsi="Times New Roman" w:eastAsia="仿宋_GB2312"/>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color w:val="auto"/>
          <w:sz w:val="30"/>
          <w:szCs w:val="30"/>
          <w:highlight w:val="none"/>
        </w:rPr>
      </w:pPr>
      <w:r>
        <w:rPr>
          <w:rFonts w:ascii="Times New Roman" w:hAnsi="Times New Roman" w:eastAsia="仿宋_GB2312"/>
          <w:color w:val="auto"/>
          <w:sz w:val="30"/>
          <w:szCs w:val="30"/>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宋体" w:cs="Times New Roman"/>
                <w:b/>
                <w:bCs/>
                <w:color w:val="auto"/>
                <w:kern w:val="2"/>
                <w:sz w:val="22"/>
                <w:szCs w:val="24"/>
                <w:highlight w:val="none"/>
                <w:lang w:val="en-US" w:eastAsia="zh-CN" w:bidi="ar-SA"/>
              </w:rPr>
            </w:pPr>
            <w:r>
              <w:rPr>
                <w:rFonts w:hint="eastAsia"/>
                <w:b/>
                <w:bCs/>
                <w:color w:val="auto"/>
                <w:sz w:val="22"/>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kern w:val="2"/>
                <w:sz w:val="22"/>
                <w:szCs w:val="24"/>
                <w:highlight w:val="none"/>
                <w:lang w:val="en-US" w:eastAsia="zh-CN" w:bidi="ar-SA"/>
              </w:rPr>
            </w:pPr>
            <w:r>
              <w:rPr>
                <w:rFonts w:hint="eastAsia"/>
                <w:color w:val="auto"/>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kern w:val="2"/>
                <w:sz w:val="22"/>
                <w:szCs w:val="24"/>
                <w:highlight w:val="none"/>
                <w:lang w:val="en-US" w:eastAsia="zh-CN" w:bidi="ar-SA"/>
              </w:rPr>
            </w:pPr>
            <w:r>
              <w:rPr>
                <w:rFonts w:hint="eastAsia"/>
                <w:color w:val="auto"/>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kern w:val="2"/>
                <w:sz w:val="22"/>
                <w:szCs w:val="24"/>
                <w:highlight w:val="none"/>
                <w:lang w:val="en-US" w:eastAsia="zh-CN" w:bidi="ar-SA"/>
              </w:rPr>
            </w:pPr>
            <w:r>
              <w:rPr>
                <w:rFonts w:hint="eastAsia"/>
                <w:color w:val="auto"/>
                <w:sz w:val="22"/>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kern w:val="2"/>
                <w:sz w:val="22"/>
                <w:szCs w:val="24"/>
                <w:highlight w:val="none"/>
                <w:lang w:val="en-US" w:eastAsia="zh-CN" w:bidi="ar-SA"/>
              </w:rPr>
            </w:pPr>
            <w:r>
              <w:rPr>
                <w:rFonts w:hint="eastAsia"/>
                <w:color w:val="auto"/>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b/>
                <w:bCs/>
                <w:color w:val="auto"/>
                <w:kern w:val="2"/>
                <w:sz w:val="22"/>
                <w:szCs w:val="24"/>
                <w:highlight w:val="none"/>
                <w:lang w:val="en-US" w:eastAsia="zh-CN" w:bidi="ar-SA"/>
              </w:rPr>
            </w:pPr>
            <w:r>
              <w:rPr>
                <w:rFonts w:hint="eastAsia"/>
                <w:b/>
                <w:bCs/>
                <w:color w:val="auto"/>
                <w:sz w:val="22"/>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p>
        </w:tc>
      </w:tr>
    </w:tbl>
    <w:p>
      <w:pPr>
        <w:spacing w:line="560" w:lineRule="exact"/>
        <w:ind w:firstLine="640" w:firstLineChars="200"/>
        <w:rPr>
          <w:rFonts w:eastAsia="黑体"/>
          <w:color w:val="auto"/>
          <w:sz w:val="32"/>
          <w:szCs w:val="32"/>
          <w:highlight w:val="none"/>
        </w:rPr>
      </w:pPr>
      <w:r>
        <w:rPr>
          <w:rFonts w:eastAsia="黑体"/>
          <w:color w:val="auto"/>
          <w:sz w:val="32"/>
          <w:szCs w:val="32"/>
          <w:highlight w:val="none"/>
        </w:rPr>
        <w:t>四、绩效评价指标分析</w:t>
      </w:r>
    </w:p>
    <w:p>
      <w:pPr>
        <w:pStyle w:val="10"/>
        <w:spacing w:before="0" w:after="0" w:line="560" w:lineRule="exact"/>
        <w:ind w:firstLine="643" w:firstLineChars="200"/>
        <w:jc w:val="both"/>
        <w:rPr>
          <w:rFonts w:ascii="Times New Roman" w:hAnsi="Times New Roman" w:eastAsia="楷体_GB2312"/>
          <w:color w:val="auto"/>
          <w:highlight w:val="none"/>
        </w:rPr>
      </w:pPr>
      <w:r>
        <w:rPr>
          <w:rFonts w:ascii="Times New Roman" w:hAnsi="Times New Roman" w:eastAsia="楷体_GB2312"/>
          <w:color w:val="auto"/>
          <w:highlight w:val="none"/>
        </w:rPr>
        <w:t>（一）项目决策情况</w:t>
      </w:r>
    </w:p>
    <w:p>
      <w:pPr>
        <w:shd w:val="clear"/>
        <w:spacing w:line="600" w:lineRule="exact"/>
        <w:ind w:firstLine="600" w:firstLineChars="200"/>
        <w:outlineLvl w:val="0"/>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项目决策类指标包括项目立项、绩效目标和资金投入三方面的内容，由6个三级指标构成，权重分值为20分，实际得分20分，得分率为100%。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1.项目立项</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3.资金投入</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10"/>
        <w:numPr>
          <w:ilvl w:val="0"/>
          <w:numId w:val="5"/>
        </w:numPr>
        <w:spacing w:before="0" w:after="0" w:line="560" w:lineRule="exact"/>
        <w:ind w:firstLine="643" w:firstLineChars="200"/>
        <w:jc w:val="both"/>
        <w:rPr>
          <w:rFonts w:ascii="楷体" w:hAnsi="楷体" w:eastAsia="楷体" w:cs="楷体"/>
          <w:color w:val="auto"/>
          <w:highlight w:val="none"/>
        </w:rPr>
      </w:pPr>
      <w:r>
        <w:rPr>
          <w:rFonts w:hint="eastAsia" w:ascii="楷体" w:hAnsi="楷体" w:eastAsia="楷体" w:cs="楷体"/>
          <w:color w:val="auto"/>
          <w:highlight w:val="none"/>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w:t>
      </w:r>
      <w:r>
        <w:rPr>
          <w:rFonts w:hint="eastAsia" w:ascii="仿宋_GB2312" w:hAnsi="仿宋_GB2312" w:eastAsia="仿宋_GB2312" w:cs="仿宋_GB2312"/>
          <w:color w:val="auto"/>
          <w:sz w:val="32"/>
          <w:szCs w:val="32"/>
          <w:highlight w:val="none"/>
          <w:lang w:val="en-US" w:eastAsia="zh-CN"/>
        </w:rPr>
        <w:t>5个</w:t>
      </w:r>
      <w:r>
        <w:rPr>
          <w:rFonts w:hint="eastAsia" w:ascii="仿宋_GB2312" w:hAnsi="仿宋_GB2312" w:eastAsia="仿宋_GB2312" w:cs="仿宋_GB2312"/>
          <w:color w:val="auto"/>
          <w:sz w:val="32"/>
          <w:szCs w:val="32"/>
          <w:highlight w:val="none"/>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本项目总投资52.88万元，财政资金及时足额到位，到位率100%，预算资金按计划进度执行。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预算编制较为详细，项目资金支出总体能够按照预算执行，预算资金支出52.88万元，预算执行率为100%。</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numPr>
          <w:ilvl w:val="0"/>
          <w:numId w:val="5"/>
        </w:numPr>
        <w:spacing w:line="560" w:lineRule="exact"/>
        <w:ind w:firstLine="643"/>
        <w:rPr>
          <w:rFonts w:eastAsia="楷体_GB2312"/>
          <w:b/>
          <w:bCs/>
          <w:color w:val="auto"/>
          <w:sz w:val="32"/>
          <w:szCs w:val="32"/>
          <w:highlight w:val="none"/>
        </w:rPr>
      </w:pPr>
      <w:r>
        <w:rPr>
          <w:rFonts w:eastAsia="楷体_GB2312"/>
          <w:b/>
          <w:bCs/>
          <w:color w:val="auto"/>
          <w:sz w:val="32"/>
          <w:szCs w:val="32"/>
          <w:highlight w:val="none"/>
        </w:rPr>
        <w:t>项目产出</w:t>
      </w:r>
      <w:r>
        <w:rPr>
          <w:rFonts w:hint="eastAsia" w:eastAsia="楷体_GB2312"/>
          <w:b/>
          <w:bCs/>
          <w:color w:val="auto"/>
          <w:sz w:val="32"/>
          <w:szCs w:val="32"/>
          <w:highlight w:val="none"/>
          <w:lang w:val="en-US" w:eastAsia="zh-CN"/>
        </w:rPr>
        <w:t>情况</w:t>
      </w:r>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项目产出类指标包括产出数量、产出质量、产出时效、产出成本四方面的内容，由7个三级指标构成，权重分为40分，实际得分40分，得分率为100%。具体产出指标完成情况如下：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指标1：残疾人基本康复服务人数，指标值：&gt;=</w:t>
      </w:r>
      <w:r>
        <w:rPr>
          <w:rFonts w:hint="eastAsia" w:ascii="仿宋_GB2312" w:hAnsi="仿宋_GB2312" w:eastAsia="仿宋_GB2312" w:cs="仿宋_GB2312"/>
          <w:color w:val="auto"/>
          <w:sz w:val="32"/>
          <w:szCs w:val="32"/>
          <w:highlight w:val="none"/>
          <w:lang w:val="en-US" w:eastAsia="zh-CN"/>
        </w:rPr>
        <w:t>230</w:t>
      </w:r>
      <w:r>
        <w:rPr>
          <w:rFonts w:hint="eastAsia" w:ascii="仿宋_GB2312" w:hAnsi="仿宋_GB2312" w:eastAsia="仿宋_GB2312" w:cs="仿宋_GB2312"/>
          <w:color w:val="auto"/>
          <w:sz w:val="32"/>
          <w:szCs w:val="32"/>
          <w:highlight w:val="none"/>
        </w:rPr>
        <w:t xml:space="preserve">人，实际完成值： </w:t>
      </w:r>
      <w:r>
        <w:rPr>
          <w:rFonts w:hint="eastAsia" w:ascii="仿宋_GB2312" w:hAnsi="仿宋_GB2312" w:eastAsia="仿宋_GB2312" w:cs="仿宋_GB2312"/>
          <w:color w:val="auto"/>
          <w:sz w:val="32"/>
          <w:szCs w:val="32"/>
          <w:highlight w:val="none"/>
          <w:lang w:val="en-US" w:eastAsia="zh-CN"/>
        </w:rPr>
        <w:t>230人</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指标2：0-6岁残疾儿童康复救助人数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指标值：&gt;=</w:t>
      </w:r>
      <w:r>
        <w:rPr>
          <w:rFonts w:hint="eastAsia" w:ascii="仿宋_GB2312" w:hAnsi="仿宋_GB2312" w:eastAsia="仿宋_GB2312" w:cs="仿宋_GB2312"/>
          <w:color w:val="auto"/>
          <w:sz w:val="32"/>
          <w:szCs w:val="32"/>
          <w:highlight w:val="none"/>
          <w:lang w:val="en-US" w:eastAsia="zh-CN"/>
        </w:rPr>
        <w:t xml:space="preserve">18人， </w:t>
      </w:r>
      <w:r>
        <w:rPr>
          <w:rFonts w:hint="eastAsia" w:ascii="仿宋_GB2312" w:hAnsi="仿宋_GB2312" w:eastAsia="仿宋_GB2312" w:cs="仿宋_GB2312"/>
          <w:color w:val="auto"/>
          <w:sz w:val="32"/>
          <w:szCs w:val="32"/>
          <w:highlight w:val="none"/>
        </w:rPr>
        <w:t xml:space="preserve">实际完成值： </w:t>
      </w:r>
      <w:r>
        <w:rPr>
          <w:rFonts w:hint="eastAsia" w:ascii="仿宋_GB2312" w:hAnsi="仿宋_GB2312" w:eastAsia="仿宋_GB2312" w:cs="仿宋_GB2312"/>
          <w:color w:val="auto"/>
          <w:sz w:val="32"/>
          <w:szCs w:val="32"/>
          <w:highlight w:val="none"/>
          <w:lang w:val="en-US" w:eastAsia="zh-CN"/>
        </w:rPr>
        <w:t>18人</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val="en-US" w:eastAsia="zh-CN"/>
        </w:rPr>
        <w:t>0-6岁残疾儿童享受康复服务覆盖率，</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0%，实际完成值：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r>
        <w:rPr>
          <w:rFonts w:hint="eastAsia" w:ascii="仿宋_GB2312" w:hAnsi="仿宋_GB2312" w:eastAsia="仿宋_GB2312" w:cs="仿宋_GB2312"/>
          <w:color w:val="auto"/>
          <w:sz w:val="32"/>
          <w:szCs w:val="32"/>
          <w:highlight w:val="none"/>
          <w:lang w:val="en-US" w:eastAsia="zh-CN"/>
        </w:rPr>
        <w:t>残疾儿童康复救助时间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12月30日前</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12月30日</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指标1：</w:t>
      </w:r>
      <w:r>
        <w:rPr>
          <w:rFonts w:hint="eastAsia" w:ascii="仿宋_GB2312" w:hAnsi="仿宋_GB2312" w:eastAsia="仿宋_GB2312" w:cs="仿宋_GB2312"/>
          <w:color w:val="auto"/>
          <w:sz w:val="32"/>
          <w:szCs w:val="32"/>
          <w:highlight w:val="none"/>
          <w:lang w:val="en-US" w:eastAsia="zh-CN"/>
        </w:rPr>
        <w:t>0-6岁残疾儿童人均执行</w:t>
      </w:r>
      <w:r>
        <w:rPr>
          <w:rFonts w:hint="eastAsia" w:ascii="仿宋_GB2312" w:hAnsi="仿宋_GB2312" w:eastAsia="仿宋_GB2312" w:cs="仿宋_GB2312"/>
          <w:color w:val="auto"/>
          <w:sz w:val="32"/>
          <w:szCs w:val="32"/>
          <w:highlight w:val="none"/>
        </w:rPr>
        <w:t>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&lt;=</w:t>
      </w:r>
      <w:r>
        <w:rPr>
          <w:rFonts w:hint="eastAsia" w:ascii="仿宋_GB2312" w:hAnsi="仿宋_GB2312" w:eastAsia="仿宋_GB2312" w:cs="仿宋_GB2312"/>
          <w:color w:val="auto"/>
          <w:sz w:val="32"/>
          <w:szCs w:val="32"/>
          <w:highlight w:val="none"/>
          <w:lang w:val="en-US" w:eastAsia="zh-CN"/>
        </w:rPr>
        <w:t>1.65万</w:t>
      </w:r>
      <w:r>
        <w:rPr>
          <w:rFonts w:hint="eastAsia" w:ascii="仿宋_GB2312" w:hAnsi="仿宋_GB2312" w:eastAsia="仿宋_GB2312" w:cs="仿宋_GB2312"/>
          <w:color w:val="auto"/>
          <w:sz w:val="32"/>
          <w:szCs w:val="32"/>
          <w:highlight w:val="none"/>
        </w:rPr>
        <w:t>元，实际完成值：</w:t>
      </w:r>
      <w:r>
        <w:rPr>
          <w:rFonts w:hint="eastAsia" w:ascii="仿宋_GB2312" w:hAnsi="仿宋_GB2312" w:eastAsia="仿宋_GB2312" w:cs="仿宋_GB2312"/>
          <w:color w:val="auto"/>
          <w:sz w:val="32"/>
          <w:szCs w:val="32"/>
          <w:highlight w:val="none"/>
          <w:lang w:val="en-US" w:eastAsia="zh-CN"/>
        </w:rPr>
        <w:t>1.65万</w:t>
      </w:r>
      <w:r>
        <w:rPr>
          <w:rFonts w:hint="eastAsia" w:ascii="仿宋_GB2312" w:hAnsi="仿宋_GB2312" w:eastAsia="仿宋_GB2312" w:cs="仿宋_GB2312"/>
          <w:color w:val="auto"/>
          <w:sz w:val="32"/>
          <w:szCs w:val="32"/>
          <w:highlight w:val="none"/>
        </w:rPr>
        <w:t>元，指标完成率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指标2：残疾人基本康复服务执行率，指标值：&lt;=408.7元/人，实际完成值：408.7元/人，指标完成率100%。</w:t>
      </w:r>
    </w:p>
    <w:p>
      <w:pPr>
        <w:pStyle w:val="12"/>
        <w:numPr>
          <w:ilvl w:val="0"/>
          <w:numId w:val="5"/>
        </w:numPr>
        <w:spacing w:line="560" w:lineRule="exact"/>
        <w:ind w:firstLine="643"/>
        <w:rPr>
          <w:rFonts w:hint="eastAsia"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pageBreakBefore w:val="0"/>
        <w:widowControl w:val="0"/>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社会效益指标：</w:t>
      </w:r>
    </w:p>
    <w:p>
      <w:pPr>
        <w:pageBreakBefore w:val="0"/>
        <w:widowControl w:val="0"/>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指标1：提高残疾儿童生活质量，指标值：有所提高，实际完成值：有所提高，指标完成率100%。</w:t>
      </w:r>
    </w:p>
    <w:p>
      <w:pPr>
        <w:numPr>
          <w:ilvl w:val="0"/>
          <w:numId w:val="0"/>
        </w:num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①满意度</w:t>
      </w:r>
      <w:r>
        <w:rPr>
          <w:rFonts w:hint="eastAsia" w:ascii="仿宋_GB2312" w:hAnsi="仿宋_GB2312" w:eastAsia="仿宋_GB2312" w:cs="仿宋_GB2312"/>
          <w:color w:val="auto"/>
          <w:sz w:val="32"/>
          <w:szCs w:val="32"/>
          <w:highlight w:val="none"/>
        </w:rPr>
        <w:t>指标：</w:t>
      </w:r>
    </w:p>
    <w:p>
      <w:pPr>
        <w:pageBreakBefore w:val="0"/>
        <w:widowControl w:val="0"/>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指标1：残疾人满意度，指标值：&gt;=95%，完成值：95.16%，指标完成率100.07%，偏差原因：年初目标设置过低，整改措施：合理安排预算目标。</w:t>
      </w:r>
    </w:p>
    <w:p>
      <w:pPr>
        <w:spacing w:line="560" w:lineRule="exact"/>
        <w:ind w:firstLine="640" w:firstLineChars="200"/>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pStyle w:val="19"/>
        <w:spacing w:line="560" w:lineRule="exact"/>
        <w:ind w:firstLine="640"/>
        <w:rPr>
          <w:rFonts w:ascii="Times New Roman" w:hAnsi="Times New Roman"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2024年残疾人事业发展补助资金</w:t>
      </w:r>
      <w:r>
        <w:rPr>
          <w:rFonts w:hint="eastAsia" w:ascii="Times New Roman" w:hAnsi="Times New Roman" w:eastAsia="仿宋_GB2312" w:cs="Times New Roman"/>
          <w:color w:val="auto"/>
          <w:kern w:val="2"/>
          <w:sz w:val="32"/>
          <w:szCs w:val="32"/>
          <w:highlight w:val="none"/>
          <w:lang w:val="en-US" w:eastAsia="zh-CN" w:bidi="ar-SA"/>
        </w:rPr>
        <w:t>项目年初预算</w:t>
      </w:r>
      <w:r>
        <w:rPr>
          <w:rFonts w:hint="eastAsia" w:eastAsia="仿宋_GB2312" w:cs="Times New Roman"/>
          <w:color w:val="auto"/>
          <w:kern w:val="2"/>
          <w:sz w:val="32"/>
          <w:szCs w:val="32"/>
          <w:highlight w:val="none"/>
          <w:lang w:val="en-US" w:eastAsia="zh-CN" w:bidi="ar-SA"/>
        </w:rPr>
        <w:t>52.88</w:t>
      </w:r>
      <w:r>
        <w:rPr>
          <w:rFonts w:hint="eastAsia" w:ascii="Times New Roman" w:hAnsi="Times New Roman" w:eastAsia="仿宋_GB2312" w:cs="Times New Roman"/>
          <w:color w:val="auto"/>
          <w:kern w:val="2"/>
          <w:sz w:val="32"/>
          <w:szCs w:val="32"/>
          <w:highlight w:val="none"/>
          <w:lang w:val="en-US" w:eastAsia="zh-CN" w:bidi="ar-SA"/>
        </w:rPr>
        <w:t>万元，全年预算</w:t>
      </w:r>
      <w:r>
        <w:rPr>
          <w:rFonts w:hint="eastAsia" w:eastAsia="仿宋_GB2312" w:cs="Times New Roman"/>
          <w:color w:val="auto"/>
          <w:kern w:val="2"/>
          <w:sz w:val="32"/>
          <w:szCs w:val="32"/>
          <w:highlight w:val="none"/>
          <w:lang w:val="en-US" w:eastAsia="zh-CN" w:bidi="ar-SA"/>
        </w:rPr>
        <w:t>52.88</w:t>
      </w:r>
      <w:r>
        <w:rPr>
          <w:rFonts w:hint="eastAsia" w:ascii="Times New Roman" w:hAnsi="Times New Roman" w:eastAsia="仿宋_GB2312" w:cs="Times New Roman"/>
          <w:color w:val="auto"/>
          <w:kern w:val="2"/>
          <w:sz w:val="32"/>
          <w:szCs w:val="32"/>
          <w:highlight w:val="none"/>
          <w:lang w:val="en-US" w:eastAsia="zh-CN" w:bidi="ar-SA"/>
        </w:rPr>
        <w:t>万元，实际支出</w:t>
      </w:r>
      <w:r>
        <w:rPr>
          <w:rFonts w:hint="eastAsia" w:eastAsia="仿宋_GB2312" w:cs="Times New Roman"/>
          <w:color w:val="auto"/>
          <w:kern w:val="2"/>
          <w:sz w:val="32"/>
          <w:szCs w:val="32"/>
          <w:highlight w:val="none"/>
          <w:lang w:val="en-US" w:eastAsia="zh-CN" w:bidi="ar-SA"/>
        </w:rPr>
        <w:t>52.88</w:t>
      </w:r>
      <w:r>
        <w:rPr>
          <w:rFonts w:hint="eastAsia" w:ascii="Times New Roman" w:hAnsi="Times New Roman" w:eastAsia="仿宋_GB2312" w:cs="Times New Roman"/>
          <w:color w:val="auto"/>
          <w:kern w:val="2"/>
          <w:sz w:val="32"/>
          <w:szCs w:val="32"/>
          <w:highlight w:val="none"/>
          <w:lang w:val="en-US" w:eastAsia="zh-CN" w:bidi="ar-SA"/>
        </w:rPr>
        <w:t>万元，预算执行率为</w:t>
      </w:r>
      <w:r>
        <w:rPr>
          <w:rFonts w:hint="eastAsia" w:eastAsia="仿宋_GB2312"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%，项目绩效指标总体完成率为</w:t>
      </w:r>
      <w:r>
        <w:rPr>
          <w:rFonts w:hint="eastAsia" w:eastAsia="仿宋_GB2312" w:cs="Times New Roman"/>
          <w:color w:val="auto"/>
          <w:kern w:val="2"/>
          <w:sz w:val="32"/>
          <w:szCs w:val="32"/>
          <w:highlight w:val="none"/>
          <w:lang w:val="en-US" w:eastAsia="zh-CN" w:bidi="ar-SA"/>
        </w:rPr>
        <w:t>100.01</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lang w:val="en-US" w:eastAsia="zh-CN"/>
        </w:rPr>
        <w:t>偏差原因：年初目标设置过低，整改措施：合理安排预算目标。</w:t>
      </w:r>
    </w:p>
    <w:p>
      <w:pPr>
        <w:spacing w:line="560" w:lineRule="exact"/>
        <w:ind w:firstLine="640" w:firstLineChars="200"/>
        <w:rPr>
          <w:rStyle w:val="18"/>
          <w:rFonts w:ascii="Times New Roman" w:hAnsi="Times New Roman" w:cs="Times New Roman"/>
          <w:color w:val="auto"/>
          <w:highlight w:val="none"/>
        </w:rPr>
      </w:pPr>
      <w:r>
        <w:rPr>
          <w:rFonts w:hint="eastAsia" w:eastAsia="黑体"/>
          <w:color w:val="auto"/>
          <w:sz w:val="32"/>
          <w:szCs w:val="32"/>
          <w:highlight w:val="none"/>
          <w:lang w:eastAsia="zh-Hans"/>
        </w:rPr>
        <w:t>六</w:t>
      </w:r>
      <w:r>
        <w:rPr>
          <w:rFonts w:eastAsia="黑体"/>
          <w:color w:val="auto"/>
          <w:sz w:val="32"/>
          <w:szCs w:val="32"/>
          <w:highlight w:val="none"/>
        </w:rPr>
        <w:t>、主要经验及做法、存在的问题及原因分析</w:t>
      </w:r>
    </w:p>
    <w:p>
      <w:pPr>
        <w:spacing w:line="560" w:lineRule="exact"/>
        <w:ind w:firstLine="627" w:firstLineChars="200"/>
        <w:rPr>
          <w:rFonts w:eastAsia="楷体"/>
          <w:b/>
          <w:color w:val="auto"/>
          <w:spacing w:val="-4"/>
          <w:sz w:val="32"/>
          <w:szCs w:val="32"/>
          <w:highlight w:val="none"/>
        </w:rPr>
      </w:pPr>
      <w:r>
        <w:rPr>
          <w:rFonts w:eastAsia="楷体"/>
          <w:b/>
          <w:color w:val="auto"/>
          <w:spacing w:val="-4"/>
          <w:sz w:val="32"/>
          <w:szCs w:val="32"/>
          <w:highlight w:val="none"/>
        </w:rPr>
        <w:t>（一）主要经验及做法</w:t>
      </w:r>
    </w:p>
    <w:p>
      <w:pPr>
        <w:pStyle w:val="10"/>
        <w:spacing w:before="0" w:after="0" w:line="560" w:lineRule="exact"/>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是领导重视、组织建设得到进一步加强。始终坚持“以人为本”以残疾人需求为导向，紧紧围绕残疾人“人人享有康复服务”目标，确定项目工资任务，抓重点、攻坚难、开拓进取、扎实工作。二是积极做好残疾人宣传工作，充分利用社区（村）宣传残疾人相关政策，并不定期进行康复训练回访、走访慰问了解残疾人所需。三是开展康复工作，确保残疾人“人人享有康复服务”。四是了解残疾人需求，帮助残疾人解决实际问题。五是组织残疾人参加丰富多彩的活动。</w:t>
      </w:r>
    </w:p>
    <w:p>
      <w:pPr>
        <w:keepNext/>
        <w:keepLines/>
        <w:numPr>
          <w:ilvl w:val="0"/>
          <w:numId w:val="6"/>
        </w:numPr>
        <w:spacing w:line="56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存在的问题及原因分析</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是部分业务人员绩效管理意识有待增强，未能全面深入认识理解绩效管理工作的意义。绩效管理经验不足，预算绩效管理工作有待进一步落实。个别绩效指标设置的精准性、合理性有待进一步改善。主要原因是业务人员对绩效目标管理工作不熟悉，指标设置针对性不强。二是组织保障有待进一步提高，由于单位人员较少，没有专门的部门及人员负责此项工作，致使该项工作在开展过程中出现各种问题。</w:t>
      </w:r>
    </w:p>
    <w:p>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Hans"/>
        </w:rPr>
        <w:t>七、</w:t>
      </w:r>
      <w:r>
        <w:rPr>
          <w:rFonts w:eastAsia="黑体"/>
          <w:color w:val="auto"/>
          <w:sz w:val="32"/>
          <w:szCs w:val="32"/>
          <w:highlight w:val="none"/>
        </w:rPr>
        <w:t>有关建议</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为确保项目顺利实施，单位要责任分工明确。为加强财政支出管理，提高资金使用效益，</w:t>
      </w:r>
      <w:r>
        <w:rPr>
          <w:rFonts w:hint="default" w:ascii="Times New Roman" w:hAnsi="Times New Roman" w:eastAsia="仿宋_GB2312" w:cs="Times New Roman"/>
          <w:color w:val="auto"/>
          <w:sz w:val="32"/>
          <w:szCs w:val="32"/>
          <w:highlight w:val="none"/>
          <w:lang w:val="en-US" w:eastAsia="zh-CN"/>
        </w:rPr>
        <w:t>项目建设的程序</w:t>
      </w:r>
      <w:r>
        <w:rPr>
          <w:rFonts w:hint="eastAsia" w:ascii="Times New Roman" w:hAnsi="Times New Roman" w:eastAsia="仿宋_GB2312" w:cs="Times New Roman"/>
          <w:color w:val="auto"/>
          <w:sz w:val="32"/>
          <w:szCs w:val="32"/>
          <w:highlight w:val="none"/>
          <w:lang w:val="en-US" w:eastAsia="zh-CN"/>
        </w:rPr>
        <w:t>要规范，</w:t>
      </w:r>
      <w:r>
        <w:rPr>
          <w:rFonts w:hint="eastAsia" w:ascii="仿宋_GB2312" w:hAnsi="仿宋_GB2312" w:eastAsia="仿宋_GB2312" w:cs="仿宋_GB2312"/>
          <w:color w:val="auto"/>
          <w:sz w:val="32"/>
          <w:szCs w:val="32"/>
          <w:highlight w:val="none"/>
          <w:lang w:val="en-US" w:eastAsia="zh-CN"/>
        </w:rPr>
        <w:t>确保项目管理进度落实到人。</w:t>
      </w:r>
    </w:p>
    <w:p>
      <w:pPr>
        <w:spacing w:line="560" w:lineRule="exact"/>
        <w:ind w:firstLine="640" w:firstLineChars="200"/>
        <w:rPr>
          <w:rFonts w:eastAsia="黑体"/>
          <w:color w:val="auto"/>
          <w:sz w:val="32"/>
          <w:szCs w:val="32"/>
          <w:highlight w:val="none"/>
        </w:rPr>
      </w:pPr>
      <w:r>
        <w:rPr>
          <w:rFonts w:hint="eastAsia" w:eastAsia="黑体"/>
          <w:color w:val="auto"/>
          <w:sz w:val="32"/>
          <w:szCs w:val="32"/>
          <w:highlight w:val="none"/>
          <w:lang w:eastAsia="zh-Hans"/>
        </w:rPr>
        <w:t>八、</w:t>
      </w:r>
      <w:r>
        <w:rPr>
          <w:rFonts w:eastAsia="黑体"/>
          <w:color w:val="auto"/>
          <w:sz w:val="32"/>
          <w:szCs w:val="32"/>
          <w:highlight w:val="none"/>
        </w:rPr>
        <w:t>其他需要说</w:t>
      </w:r>
      <w:bookmarkStart w:id="0" w:name="page8"/>
      <w:bookmarkEnd w:id="0"/>
      <w:r>
        <w:rPr>
          <w:rFonts w:eastAsia="黑体"/>
          <w:color w:val="auto"/>
          <w:sz w:val="32"/>
          <w:szCs w:val="32"/>
          <w:highlight w:val="none"/>
        </w:rPr>
        <w:t>明的问题</w:t>
      </w:r>
    </w:p>
    <w:p>
      <w:pPr>
        <w:pStyle w:val="13"/>
        <w:spacing w:after="0" w:line="560" w:lineRule="exact"/>
        <w:ind w:left="0" w:leftChars="0" w:firstLine="640"/>
        <w:rPr>
          <w:rFonts w:hint="eastAsia" w:eastAsia="仿宋_GB2312"/>
          <w:b/>
          <w:color w:val="auto"/>
          <w:kern w:val="0"/>
          <w:sz w:val="32"/>
          <w:szCs w:val="32"/>
          <w:highlight w:val="none"/>
          <w:lang w:val="en-US" w:eastAsia="zh-CN" w:bidi="ar"/>
        </w:rPr>
        <w:sectPr>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color w:val="auto"/>
          <w:sz w:val="32"/>
          <w:szCs w:val="32"/>
          <w:highlight w:val="none"/>
          <w:lang w:eastAsia="zh-Hans"/>
        </w:rPr>
        <w:t>本项目无其他需说明的</w:t>
      </w:r>
      <w:r>
        <w:rPr>
          <w:rFonts w:hint="eastAsia" w:ascii="仿宋_GB2312" w:hAnsi="仿宋_GB2312" w:eastAsia="仿宋_GB2312" w:cs="仿宋_GB2312"/>
          <w:color w:val="auto"/>
          <w:sz w:val="32"/>
          <w:szCs w:val="32"/>
          <w:highlight w:val="none"/>
          <w:lang w:val="en-US" w:eastAsia="zh-CN"/>
        </w:rPr>
        <w:t>问题。</w:t>
      </w:r>
    </w:p>
    <w:p>
      <w:pPr>
        <w:pStyle w:val="10"/>
        <w:jc w:val="both"/>
        <w:rPr>
          <w:rFonts w:hint="eastAsia"/>
          <w:color w:val="auto"/>
          <w:highlight w:val="none"/>
        </w:rPr>
      </w:pPr>
    </w:p>
    <w:p>
      <w:pPr>
        <w:spacing w:line="600" w:lineRule="exact"/>
        <w:rPr>
          <w:rFonts w:hint="eastAsia" w:ascii="黑体" w:hAnsi="黑体" w:eastAsia="黑体" w:cs="黑体"/>
          <w:color w:val="auto"/>
          <w:highlight w:val="none"/>
        </w:rPr>
      </w:pPr>
      <w:r>
        <w:rPr>
          <w:rFonts w:hint="eastAsia" w:ascii="黑体" w:hAnsi="黑体" w:eastAsia="黑体" w:cs="黑体"/>
          <w:bCs/>
          <w:color w:val="auto"/>
          <w:sz w:val="32"/>
          <w:szCs w:val="32"/>
          <w:highlight w:val="none"/>
        </w:rPr>
        <w:t>附件1</w:t>
      </w:r>
    </w:p>
    <w:p>
      <w:pPr>
        <w:pStyle w:val="19"/>
        <w:ind w:firstLine="562"/>
        <w:jc w:val="center"/>
        <w:rPr>
          <w:color w:val="auto"/>
          <w:sz w:val="28"/>
          <w:szCs w:val="40"/>
          <w:highlight w:val="none"/>
        </w:rPr>
      </w:pPr>
      <w:bookmarkStart w:id="1" w:name="_Toc30064_WPSOffice_Level1"/>
      <w:bookmarkStart w:id="2" w:name="_Toc26499_WPSOffice_Level2"/>
      <w:r>
        <w:rPr>
          <w:rFonts w:hint="eastAsia"/>
          <w:b/>
          <w:bCs/>
          <w:color w:val="auto"/>
          <w:sz w:val="28"/>
          <w:szCs w:val="40"/>
          <w:highlight w:val="none"/>
          <w:lang w:val="en-US" w:eastAsia="zh-CN"/>
        </w:rPr>
        <w:t>2024年残疾人事业发展补助资金</w:t>
      </w:r>
      <w:r>
        <w:rPr>
          <w:rFonts w:hint="eastAsia"/>
          <w:b/>
          <w:bCs/>
          <w:color w:val="auto"/>
          <w:sz w:val="28"/>
          <w:szCs w:val="40"/>
          <w:highlight w:val="none"/>
        </w:rPr>
        <w:t>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29"/>
        <w:gridCol w:w="764"/>
        <w:gridCol w:w="873"/>
        <w:gridCol w:w="2353"/>
        <w:gridCol w:w="5200"/>
        <w:gridCol w:w="1"/>
        <w:gridCol w:w="1298"/>
        <w:gridCol w:w="2"/>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29"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201"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29" w:type="dxa"/>
            <w:vMerge w:val="restart"/>
            <w:shd w:val="clear" w:color="auto" w:fill="FFFFFF"/>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201" w:type="dxa"/>
            <w:gridSpan w:val="2"/>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201" w:type="dxa"/>
            <w:gridSpan w:val="2"/>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201" w:type="dxa"/>
            <w:gridSpan w:val="2"/>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29"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201" w:type="dxa"/>
            <w:gridSpan w:val="2"/>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29"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201" w:type="dxa"/>
            <w:gridSpan w:val="2"/>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29" w:type="dxa"/>
            <w:vMerge w:val="restart"/>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201" w:type="dxa"/>
            <w:gridSpan w:val="2"/>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tc>
        <w:tc>
          <w:tcPr>
            <w:tcW w:w="764"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p>
        </w:tc>
        <w:tc>
          <w:tcPr>
            <w:tcW w:w="2353" w:type="dxa"/>
            <w:shd w:val="clear" w:color="000000" w:fill="FFFFFF"/>
            <w:vAlign w:val="center"/>
          </w:tcPr>
          <w:p>
            <w:pPr>
              <w:widowControl/>
              <w:spacing w:line="0" w:lineRule="atLeast"/>
              <w:rPr>
                <w:color w:val="auto"/>
                <w:kern w:val="0"/>
                <w:sz w:val="22"/>
                <w:szCs w:val="22"/>
                <w:highlight w:val="none"/>
              </w:rPr>
            </w:pPr>
          </w:p>
        </w:tc>
        <w:tc>
          <w:tcPr>
            <w:tcW w:w="5201" w:type="dxa"/>
            <w:gridSpan w:val="2"/>
            <w:shd w:val="clear" w:color="000000" w:fill="FFFFFF"/>
            <w:vAlign w:val="center"/>
          </w:tcPr>
          <w:p>
            <w:pPr>
              <w:widowControl/>
              <w:spacing w:line="0" w:lineRule="atLeast"/>
              <w:rPr>
                <w:color w:val="auto"/>
                <w:kern w:val="0"/>
                <w:sz w:val="22"/>
                <w:szCs w:val="22"/>
                <w:highlight w:val="none"/>
              </w:rPr>
            </w:pP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p>
        </w:tc>
        <w:tc>
          <w:tcPr>
            <w:tcW w:w="1363" w:type="dxa"/>
            <w:shd w:val="clear" w:color="000000" w:fill="FFFFFF"/>
            <w:vAlign w:val="center"/>
          </w:tcPr>
          <w:p>
            <w:pPr>
              <w:widowControl/>
              <w:spacing w:line="0" w:lineRule="atLeast"/>
              <w:jc w:val="center"/>
              <w:rPr>
                <w:rFonts w:hint="eastAsia"/>
                <w:b/>
                <w:bCs/>
                <w:color w:val="auto"/>
                <w:kern w:val="0"/>
                <w:sz w:val="22"/>
                <w:szCs w:val="22"/>
                <w:highlight w:val="none"/>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29"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2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29"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29"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29"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29"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201" w:type="dxa"/>
            <w:gridSpan w:val="2"/>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gridSpan w:val="2"/>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29"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201" w:type="dxa"/>
            <w:gridSpan w:val="2"/>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gridSpan w:val="2"/>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5"/>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ascii="Times New Roman" w:hAnsi="Times New Roman" w:eastAsia="仿宋_GB2312" w:cs="Times New Roman"/>
                <w:b/>
                <w:bCs/>
                <w:color w:val="auto"/>
                <w:kern w:val="0"/>
                <w:sz w:val="18"/>
                <w:szCs w:val="18"/>
                <w:highlight w:val="none"/>
                <w:lang w:val="en-US" w:eastAsia="zh-CN"/>
              </w:rPr>
              <w:t>100</w:t>
            </w:r>
          </w:p>
        </w:tc>
      </w:tr>
    </w:tbl>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tbl>
      <w:tblPr>
        <w:tblStyle w:val="14"/>
        <w:tblW w:w="128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8"/>
        <w:gridCol w:w="848"/>
        <w:gridCol w:w="1023"/>
        <w:gridCol w:w="955"/>
        <w:gridCol w:w="1645"/>
        <w:gridCol w:w="839"/>
        <w:gridCol w:w="1373"/>
        <w:gridCol w:w="1177"/>
        <w:gridCol w:w="292"/>
        <w:gridCol w:w="626"/>
        <w:gridCol w:w="678"/>
        <w:gridCol w:w="554"/>
        <w:gridCol w:w="574"/>
        <w:gridCol w:w="1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8" w:hRule="atLeast"/>
        </w:trPr>
        <w:tc>
          <w:tcPr>
            <w:tcW w:w="1285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1285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项目名称</w:t>
            </w:r>
          </w:p>
        </w:tc>
        <w:tc>
          <w:tcPr>
            <w:tcW w:w="1115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2024年残疾人事业发展补助资金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主管部门</w:t>
            </w:r>
          </w:p>
        </w:tc>
        <w:tc>
          <w:tcPr>
            <w:tcW w:w="58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奇台县残疾人联合会</w:t>
            </w: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实施单位</w:t>
            </w:r>
          </w:p>
        </w:tc>
        <w:tc>
          <w:tcPr>
            <w:tcW w:w="3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奇台县残疾人联合会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6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项目资金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（万元）</w:t>
            </w:r>
          </w:p>
        </w:tc>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2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全年预算数</w:t>
            </w: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全年执行数</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1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执行率</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年度资金总额</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52.88</w:t>
            </w:r>
          </w:p>
        </w:tc>
        <w:tc>
          <w:tcPr>
            <w:tcW w:w="2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52.88</w:t>
            </w: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52.88</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其中：当年财政拨款</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52.88</w:t>
            </w:r>
          </w:p>
        </w:tc>
        <w:tc>
          <w:tcPr>
            <w:tcW w:w="2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52.88</w:t>
            </w: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52.88</w:t>
            </w: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上年结转资金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6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  其他资金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2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4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年度总体目标</w:t>
            </w:r>
          </w:p>
        </w:tc>
        <w:tc>
          <w:tcPr>
            <w:tcW w:w="668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预期目标</w:t>
            </w:r>
          </w:p>
        </w:tc>
        <w:tc>
          <w:tcPr>
            <w:tcW w:w="531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6683"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据2024年中央财政残疾人事业发展补助资金昌州财社[2024]2号、2024年自治区残疾人事业发展补助资金昌州财社[2024]7号文件，通过对残疾儿童康复救助，达到促进残疾人事业持续进步，残疾人康复服务进一步普及成效。</w:t>
            </w:r>
          </w:p>
        </w:tc>
        <w:tc>
          <w:tcPr>
            <w:tcW w:w="5319"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截止2024年12月31日，通过为18名进行残疾儿童康复救助，残疾儿童康复救助资金29.63万元。为230名残疾人提供基本康复服务，基本康复服务资金9.4万元。帮助残疾人恢复身体机能，提高生活质量，使其能够更好地融入社会，让更多的残疾人得到救助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343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年度指标值</w:t>
            </w:r>
          </w:p>
        </w:tc>
        <w:tc>
          <w:tcPr>
            <w:tcW w:w="11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实际完成值</w:t>
            </w:r>
          </w:p>
        </w:tc>
        <w:tc>
          <w:tcPr>
            <w:tcW w:w="9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12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c>
          <w:tcPr>
            <w:tcW w:w="19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343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2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0-6岁残疾儿童康复救助人数</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&gt;=18名</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18名</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残疾人基本康复服务人数</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&gt;=230人</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230人</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0-6岁残疾儿童享受康复服务覆盖率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残疾儿童康复救助时间</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12月30日前</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12月30日</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0-6岁残疾儿童人均执行标准</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&lt;=1.65万元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1.65万元</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残疾人基本康复服务执行率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&lt;=408.70元/人</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408.7元/人</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社会成本指标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生态环境成本指标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经济效益指标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提高残疾儿童生活质量</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有所提高</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有所提高</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生态效益指标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34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残疾人满意度</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=95.16%</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87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总分</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2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100.00分</w:t>
            </w:r>
          </w:p>
        </w:tc>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bl>
    <w:p>
      <w:pPr>
        <w:spacing w:line="600" w:lineRule="exact"/>
        <w:rPr>
          <w:rFonts w:hint="eastAsia" w:ascii="黑体" w:hAnsi="黑体" w:eastAsia="黑体" w:cs="黑体"/>
          <w:bCs/>
          <w:color w:val="auto"/>
          <w:sz w:val="32"/>
          <w:szCs w:val="32"/>
          <w:highlight w:val="none"/>
        </w:rPr>
      </w:pPr>
    </w:p>
    <w:p>
      <w:pPr>
        <w:rPr>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ZjE3NmFjMDI4MGYzZjRhODNkNjIwOGRjYzVhMWMifQ=="/>
  </w:docVars>
  <w:rsids>
    <w:rsidRoot w:val="FF6C4049"/>
    <w:rsid w:val="0043307A"/>
    <w:rsid w:val="006F7242"/>
    <w:rsid w:val="00710105"/>
    <w:rsid w:val="007B168A"/>
    <w:rsid w:val="008B2CFE"/>
    <w:rsid w:val="00F26FF6"/>
    <w:rsid w:val="010975C0"/>
    <w:rsid w:val="01896C15"/>
    <w:rsid w:val="01C744FB"/>
    <w:rsid w:val="02BD3F19"/>
    <w:rsid w:val="0332374D"/>
    <w:rsid w:val="043D4F04"/>
    <w:rsid w:val="05696BF0"/>
    <w:rsid w:val="056B42F1"/>
    <w:rsid w:val="064A5EDE"/>
    <w:rsid w:val="06FB3FE8"/>
    <w:rsid w:val="07397B77"/>
    <w:rsid w:val="08633FCF"/>
    <w:rsid w:val="0B295A5C"/>
    <w:rsid w:val="0B5026CB"/>
    <w:rsid w:val="0BC74660"/>
    <w:rsid w:val="0BDE6804"/>
    <w:rsid w:val="0CAA4C53"/>
    <w:rsid w:val="0EE73304"/>
    <w:rsid w:val="10580BDC"/>
    <w:rsid w:val="10AD60E8"/>
    <w:rsid w:val="12542FA0"/>
    <w:rsid w:val="1279575E"/>
    <w:rsid w:val="12964D0E"/>
    <w:rsid w:val="13471461"/>
    <w:rsid w:val="137220F3"/>
    <w:rsid w:val="137C6286"/>
    <w:rsid w:val="13B90F01"/>
    <w:rsid w:val="161539CC"/>
    <w:rsid w:val="173252FD"/>
    <w:rsid w:val="17C11489"/>
    <w:rsid w:val="181066D2"/>
    <w:rsid w:val="18150F13"/>
    <w:rsid w:val="18AE72DA"/>
    <w:rsid w:val="18DA1F55"/>
    <w:rsid w:val="19C553D6"/>
    <w:rsid w:val="1BA02FD5"/>
    <w:rsid w:val="1C671E73"/>
    <w:rsid w:val="1E2B2D0C"/>
    <w:rsid w:val="1EE45D3E"/>
    <w:rsid w:val="20A8510D"/>
    <w:rsid w:val="21B84562"/>
    <w:rsid w:val="24F920B5"/>
    <w:rsid w:val="254B663C"/>
    <w:rsid w:val="26F740F9"/>
    <w:rsid w:val="27BA76BA"/>
    <w:rsid w:val="27F4659B"/>
    <w:rsid w:val="28C76B60"/>
    <w:rsid w:val="28F22C3A"/>
    <w:rsid w:val="293B2135"/>
    <w:rsid w:val="2A06253E"/>
    <w:rsid w:val="2A193D21"/>
    <w:rsid w:val="2ABD18FC"/>
    <w:rsid w:val="2B1E49E9"/>
    <w:rsid w:val="2B47568D"/>
    <w:rsid w:val="2B48310F"/>
    <w:rsid w:val="2CBD3F75"/>
    <w:rsid w:val="2D311D35"/>
    <w:rsid w:val="2DB61F8F"/>
    <w:rsid w:val="2E4317F2"/>
    <w:rsid w:val="2E870FE2"/>
    <w:rsid w:val="2FAE6846"/>
    <w:rsid w:val="2FB56378"/>
    <w:rsid w:val="31946A67"/>
    <w:rsid w:val="32042AAA"/>
    <w:rsid w:val="333D422D"/>
    <w:rsid w:val="341D288D"/>
    <w:rsid w:val="38CA40DD"/>
    <w:rsid w:val="38CD161E"/>
    <w:rsid w:val="395F2B56"/>
    <w:rsid w:val="3A152ED8"/>
    <w:rsid w:val="3AE138A5"/>
    <w:rsid w:val="3AEE2BBB"/>
    <w:rsid w:val="3B044D5F"/>
    <w:rsid w:val="3BECE841"/>
    <w:rsid w:val="3C8F00E9"/>
    <w:rsid w:val="3CFC6C73"/>
    <w:rsid w:val="3D3717FB"/>
    <w:rsid w:val="3E0221C9"/>
    <w:rsid w:val="3ED1159C"/>
    <w:rsid w:val="3F402ED5"/>
    <w:rsid w:val="3F661A90"/>
    <w:rsid w:val="3FF53C7D"/>
    <w:rsid w:val="3FF7797D"/>
    <w:rsid w:val="405B5F18"/>
    <w:rsid w:val="40B94CC0"/>
    <w:rsid w:val="433E72F6"/>
    <w:rsid w:val="441B2960"/>
    <w:rsid w:val="44D8697E"/>
    <w:rsid w:val="45A2364A"/>
    <w:rsid w:val="466F7EA7"/>
    <w:rsid w:val="47904979"/>
    <w:rsid w:val="480239B3"/>
    <w:rsid w:val="49E474B8"/>
    <w:rsid w:val="4A2A683B"/>
    <w:rsid w:val="4A3A6AD6"/>
    <w:rsid w:val="4C3A401D"/>
    <w:rsid w:val="4CB571EA"/>
    <w:rsid w:val="4DE6737A"/>
    <w:rsid w:val="4E2528C4"/>
    <w:rsid w:val="4F2833EB"/>
    <w:rsid w:val="4F30407B"/>
    <w:rsid w:val="4FC82DCE"/>
    <w:rsid w:val="513015C2"/>
    <w:rsid w:val="51987CEC"/>
    <w:rsid w:val="51CE23C5"/>
    <w:rsid w:val="5251711B"/>
    <w:rsid w:val="538D10A1"/>
    <w:rsid w:val="56031AAA"/>
    <w:rsid w:val="56635347"/>
    <w:rsid w:val="57301217"/>
    <w:rsid w:val="57586B58"/>
    <w:rsid w:val="57FB5468"/>
    <w:rsid w:val="593C7FF3"/>
    <w:rsid w:val="5A5D4AC3"/>
    <w:rsid w:val="5A5E4C52"/>
    <w:rsid w:val="5B5F2276"/>
    <w:rsid w:val="5B8C403F"/>
    <w:rsid w:val="5BFF6039"/>
    <w:rsid w:val="5C6462A1"/>
    <w:rsid w:val="5C7020B3"/>
    <w:rsid w:val="5C8210D4"/>
    <w:rsid w:val="5D76A616"/>
    <w:rsid w:val="5D7F20B9"/>
    <w:rsid w:val="5DAC7D0E"/>
    <w:rsid w:val="5E5F1000"/>
    <w:rsid w:val="5EE42E3D"/>
    <w:rsid w:val="5F98B5AF"/>
    <w:rsid w:val="5FFE8511"/>
    <w:rsid w:val="5FFEACE2"/>
    <w:rsid w:val="60171F35"/>
    <w:rsid w:val="61893681"/>
    <w:rsid w:val="62E5554B"/>
    <w:rsid w:val="634D3C76"/>
    <w:rsid w:val="63C274B8"/>
    <w:rsid w:val="63D0156C"/>
    <w:rsid w:val="640956AE"/>
    <w:rsid w:val="643EE26D"/>
    <w:rsid w:val="66121924"/>
    <w:rsid w:val="6679092A"/>
    <w:rsid w:val="667941AD"/>
    <w:rsid w:val="67292CCC"/>
    <w:rsid w:val="676709FE"/>
    <w:rsid w:val="68B74A5D"/>
    <w:rsid w:val="68C04067"/>
    <w:rsid w:val="68CD337D"/>
    <w:rsid w:val="68CE0DFE"/>
    <w:rsid w:val="68DF72CE"/>
    <w:rsid w:val="6A4B15F0"/>
    <w:rsid w:val="6B1E7439"/>
    <w:rsid w:val="6B903E85"/>
    <w:rsid w:val="6CB11AB4"/>
    <w:rsid w:val="6D572E2F"/>
    <w:rsid w:val="6E6168C9"/>
    <w:rsid w:val="6F5C41AC"/>
    <w:rsid w:val="6F95081D"/>
    <w:rsid w:val="6FAF6C78"/>
    <w:rsid w:val="6FE27947"/>
    <w:rsid w:val="70A2650C"/>
    <w:rsid w:val="70A94E62"/>
    <w:rsid w:val="72E3759D"/>
    <w:rsid w:val="7317C656"/>
    <w:rsid w:val="73185EE0"/>
    <w:rsid w:val="731971E5"/>
    <w:rsid w:val="734ED73F"/>
    <w:rsid w:val="739F4EC0"/>
    <w:rsid w:val="75703482"/>
    <w:rsid w:val="75A5650E"/>
    <w:rsid w:val="761942CF"/>
    <w:rsid w:val="7775678A"/>
    <w:rsid w:val="77FD8BE9"/>
    <w:rsid w:val="782F3180"/>
    <w:rsid w:val="793C0810"/>
    <w:rsid w:val="79757554"/>
    <w:rsid w:val="79761752"/>
    <w:rsid w:val="79A9BD3F"/>
    <w:rsid w:val="7AD13F8D"/>
    <w:rsid w:val="7BD834BB"/>
    <w:rsid w:val="7BFFFDD0"/>
    <w:rsid w:val="7C336E5F"/>
    <w:rsid w:val="7C3847D9"/>
    <w:rsid w:val="7D3E1B08"/>
    <w:rsid w:val="7D7A5F86"/>
    <w:rsid w:val="7E354033"/>
    <w:rsid w:val="7E9B3FC3"/>
    <w:rsid w:val="7EB16167"/>
    <w:rsid w:val="7EBE3138"/>
    <w:rsid w:val="7F284EAC"/>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5">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8469</Words>
  <Characters>8724</Characters>
  <Lines>58</Lines>
  <Paragraphs>16</Paragraphs>
  <TotalTime>22</TotalTime>
  <ScaleCrop>false</ScaleCrop>
  <LinksUpToDate>false</LinksUpToDate>
  <CharactersWithSpaces>8775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2012-12-31T19:17:38Z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1E723E7753804BB9963E0CCD4B0EA3F6_13</vt:lpwstr>
  </property>
</Properties>
</file>